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bookmarkStart w:id="0" w:name="_GoBack"/>
      <w:r>
        <w:rPr>
          <w:rFonts w:hint="eastAsia" w:eastAsia="黑体"/>
          <w:w w:val="95"/>
          <w:sz w:val="44"/>
          <w:szCs w:val="44"/>
          <w:lang w:eastAsia="zh-CN"/>
        </w:rPr>
        <w:t>天津市滨海新区发展和改革委员会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bookmarkEnd w:id="0"/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4.9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第一由于工作需要，接待任务增加导致公务接待费用增加，第二执法执勤车保险费等支出增加</w:t>
      </w:r>
      <w:r>
        <w:rPr>
          <w:rFonts w:eastAsia="仿宋_GB2312"/>
          <w:sz w:val="30"/>
          <w:szCs w:val="30"/>
          <w:u w:val="single"/>
        </w:rPr>
        <w:t>。</w:t>
      </w:r>
      <w:r>
        <w:rPr>
          <w:rFonts w:eastAsia="仿宋_GB2312"/>
          <w:sz w:val="30"/>
          <w:szCs w:val="30"/>
        </w:rPr>
        <w:t>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u w:val="single"/>
          <w:lang w:eastAsia="zh-CN"/>
        </w:rPr>
        <w:t>无变化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本年度未安排预算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0.3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执法执勤车保险费等支出增加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>
        <w:rPr>
          <w:rFonts w:hint="eastAsia" w:eastAsia="仿宋_GB2312"/>
          <w:sz w:val="30"/>
          <w:szCs w:val="30"/>
          <w:u w:val="single"/>
          <w:lang w:eastAsia="zh-CN"/>
        </w:rPr>
        <w:t>无变化</w:t>
      </w:r>
      <w:r>
        <w:rPr>
          <w:rFonts w:eastAsia="仿宋_GB2312"/>
          <w:sz w:val="30"/>
          <w:szCs w:val="30"/>
        </w:rPr>
        <w:t>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本年度未安排车辆购置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楷体_GB2312"/>
          <w:sz w:val="30"/>
          <w:szCs w:val="30"/>
        </w:rPr>
        <w:t>20</w:t>
      </w:r>
      <w:r>
        <w:rPr>
          <w:rFonts w:hint="eastAsia" w:eastAsia="楷体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4.6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由于工作需要，接待任务增加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2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</dc:creator>
  <cp:lastModifiedBy>11</cp:lastModifiedBy>
  <dcterms:modified xsi:type="dcterms:W3CDTF">2022-01-17T04:41:05Z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