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滨海新区发展改革委开展“双随机、一公开”节能监察工作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left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本着执法与服务、宣传与教育相结合的原则，实施公平审慎的市场监管，提高节能监管效能，充分发挥节能监察的监督保障作用。新区发改委统筹全区节能监察工作，全面落实“双随机、一公开”工作要求，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会同天津市节能中心执法人员对天津乐金渤海化学有限公司开展“双随机、一公开”节能监察工作。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2022年11月17日，新区发改委赴天津乐金渤海化学有限公司开展节能监察现场检查，区发改委执法人员详细讲解了国家、天津市相关节能政策，现场检查了天津乐金渤海化学有限公司能源管理岗设置、聘任能源管理岗负责人备案、开展能源审计、能耗在线监测系统使用等情况，并实地核查项目实际的生产工艺流程、主要耗能设备的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区发改委指出，希望企业在今后的生产中继续加大节能工作力度，树立节能降耗的意识，将绿色发展理念渗透到企业，主动承担节能降耗的责任。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1633220</wp:posOffset>
            </wp:positionH>
            <wp:positionV relativeFrom="page">
              <wp:posOffset>1370330</wp:posOffset>
            </wp:positionV>
            <wp:extent cx="4791710" cy="3174365"/>
            <wp:effectExtent l="0" t="0" r="8890" b="6985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Q4YTJiZTJlM2YwNTk5MmJkZTZmMDEzODRhZTkifQ=="/>
  </w:docVars>
  <w:rsids>
    <w:rsidRoot w:val="00000000"/>
    <w:rsid w:val="00B71F65"/>
    <w:rsid w:val="10296E49"/>
    <w:rsid w:val="32911D66"/>
    <w:rsid w:val="376B0DD8"/>
    <w:rsid w:val="3B903503"/>
    <w:rsid w:val="3F165ACD"/>
    <w:rsid w:val="42537ACE"/>
    <w:rsid w:val="51804E9E"/>
    <w:rsid w:val="52C84ED8"/>
    <w:rsid w:val="675B32B6"/>
    <w:rsid w:val="6C9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380</Characters>
  <Paragraphs>5</Paragraphs>
  <TotalTime>2</TotalTime>
  <ScaleCrop>false</ScaleCrop>
  <LinksUpToDate>false</LinksUpToDate>
  <CharactersWithSpaces>380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2022-09-15T06:39:00Z</dcterms:created>
  <dc:creator>短腿小妹</dc:creator>
  <cp:lastModifiedBy>徐恩宁</cp:lastModifiedBy>
  <cp:lastPrinted>2022-12-29T02:31:00Z</cp:lastPrinted>
  <dcterms:modified xsi:type="dcterms:W3CDTF">2022-12-30T09:35:22Z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6E2CC380B0084E458D142002014335F4</vt:lpwstr>
  </property>
</Properties>
</file>