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仿宋_GB2312" w:hAnsi="华文中宋" w:eastAsia="仿宋_GB2312"/>
          <w:sz w:val="32"/>
          <w:szCs w:val="32"/>
          <w:lang w:val="en"/>
        </w:rPr>
      </w:pPr>
      <w:bookmarkStart w:id="0" w:name="_GoBack"/>
      <w:bookmarkEnd w:id="0"/>
      <w:r>
        <w:rPr>
          <w:rFonts w:hint="default" w:ascii="仿宋_GB2312" w:hAnsi="华文中宋" w:eastAsia="仿宋_GB2312"/>
          <w:sz w:val="32"/>
          <w:szCs w:val="32"/>
          <w:lang w:val="en"/>
        </w:rPr>
        <w:t xml:space="preserve">              </w:t>
      </w:r>
    </w:p>
    <w:p>
      <w:pPr>
        <w:jc w:val="center"/>
        <w:rPr>
          <w:rFonts w:ascii="方正小标宋简体" w:eastAsia="方正小标宋简体"/>
          <w:sz w:val="44"/>
          <w:szCs w:val="44"/>
        </w:rPr>
      </w:pPr>
      <w:r>
        <w:rPr>
          <w:rFonts w:hint="eastAsia" w:ascii="方正小标宋简体" w:eastAsia="方正小标宋简体"/>
          <w:sz w:val="44"/>
          <w:szCs w:val="44"/>
        </w:rPr>
        <w:t>区发改委2022年度行政执法年度报告</w:t>
      </w:r>
    </w:p>
    <w:p>
      <w:pPr>
        <w:pStyle w:val="2"/>
        <w:rPr>
          <w:rFonts w:hint="eastAsia" w:ascii="仿宋_GB2312" w:hAnsi="仿宋_GB2312" w:eastAsia="仿宋_GB2312" w:cs="仿宋_GB2312"/>
          <w:sz w:val="32"/>
          <w:szCs w:val="32"/>
        </w:rPr>
      </w:pPr>
    </w:p>
    <w:p>
      <w:pPr>
        <w:ind w:firstLine="778" w:firstLineChars="250"/>
        <w:jc w:val="left"/>
        <w:rPr>
          <w:rFonts w:ascii="仿宋_GB2312" w:eastAsia="仿宋_GB2312"/>
          <w:sz w:val="32"/>
          <w:szCs w:val="32"/>
        </w:rPr>
      </w:pPr>
      <w:r>
        <w:rPr>
          <w:rFonts w:hint="eastAsia" w:ascii="仿宋_GB2312" w:eastAsia="仿宋_GB2312"/>
          <w:sz w:val="32"/>
          <w:szCs w:val="32"/>
        </w:rPr>
        <w:t>2022年，区发改委始终坚持贯彻落实党的二十大精神和习近平法治思想，积极履行职责，坚持依法行政，不断提升行政执法水平。主要工作情况报告如下：</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22" w:firstLineChars="200"/>
        <w:jc w:val="left"/>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持续加强行政执法力量</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ascii="仿宋_GB2312" w:eastAsia="仿宋_GB2312"/>
          <w:sz w:val="32"/>
          <w:szCs w:val="32"/>
        </w:rPr>
      </w:pPr>
      <w:r>
        <w:rPr>
          <w:rFonts w:hint="eastAsia" w:ascii="仿宋_GB2312" w:eastAsia="仿宋_GB2312"/>
          <w:sz w:val="32"/>
          <w:szCs w:val="32"/>
        </w:rPr>
        <w:t>为进一步满足行政执法工作需要，2022年度我委积极选拔优秀年轻业务骨干参加并通过了行政执法培训考试，充实到能环、投资、信用等一线行政执法岗位，为切实做好行政执法工作提供了人才保障。</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ascii="仿宋_GB2312" w:eastAsia="仿宋_GB2312"/>
          <w:sz w:val="32"/>
          <w:szCs w:val="32"/>
        </w:rPr>
      </w:pPr>
      <w:r>
        <w:rPr>
          <w:rFonts w:hint="eastAsia" w:ascii="仿宋_GB2312" w:eastAsia="仿宋_GB2312"/>
          <w:sz w:val="32"/>
          <w:szCs w:val="32"/>
        </w:rPr>
        <w:t>按照区司法局统一工作部署，对现有行政执法人员开展了更换申领新执法证工作；对调离行政执法岗位人员及时办理了注销行政执法证件。通过对执法证件的有效管理，为进一步规范行政执法工作打好基础。</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22" w:firstLineChars="200"/>
        <w:jc w:val="left"/>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认真开展行政执法工作</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ascii="仿宋_GB2312" w:eastAsia="仿宋_GB2312"/>
          <w:sz w:val="32"/>
          <w:szCs w:val="32"/>
        </w:rPr>
      </w:pPr>
      <w:r>
        <w:rPr>
          <w:rFonts w:hint="eastAsia" w:ascii="仿宋_GB2312" w:eastAsia="仿宋_GB2312"/>
          <w:sz w:val="32"/>
          <w:szCs w:val="32"/>
        </w:rPr>
        <w:t>按照年度油气长输管道保护行政执法工作任务，结合疫情防控要求，强化行政执法工作责任落实，全面提升行政执法水平。对途经滨海新区行政区域运行中的油气长输管道权属企业开展了全覆盖执法检查，共计开展油气长输管道保护执法检查9家次，涉及油气长输管道15条，推动相关管道企业履职尽责，维护油气长输管道外部安全。</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ascii="仿宋_GB2312" w:eastAsia="仿宋_GB2312"/>
          <w:sz w:val="32"/>
          <w:szCs w:val="32"/>
        </w:rPr>
      </w:pPr>
      <w:r>
        <w:rPr>
          <w:rFonts w:hint="eastAsia" w:ascii="仿宋_GB2312" w:eastAsia="仿宋_GB2312"/>
          <w:sz w:val="32"/>
          <w:szCs w:val="32"/>
        </w:rPr>
        <w:t>滨海新区粮食局积极履行自身职责，2022年度实施2起行政处罚。分别是</w:t>
      </w:r>
      <w:r>
        <w:rPr>
          <w:rFonts w:hint="eastAsia" w:ascii="仿宋_GB2312" w:eastAsia="仿宋_GB2312"/>
          <w:sz w:val="32"/>
          <w:szCs w:val="32"/>
          <w:lang w:eastAsia="zh-CN"/>
        </w:rPr>
        <w:t>对</w:t>
      </w:r>
      <w:r>
        <w:rPr>
          <w:rFonts w:hint="eastAsia" w:ascii="仿宋_GB2312" w:eastAsia="仿宋_GB2312"/>
          <w:sz w:val="32"/>
          <w:szCs w:val="32"/>
        </w:rPr>
        <w:t>天津市滨海新区滨粮粮食购销有限公司实施简易程序行政处罚1次和普通程序行政处罚1次。</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22" w:firstLineChars="200"/>
        <w:jc w:val="left"/>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积极做好“双随机、一公开”监管</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ascii="仿宋_GB2312" w:hAnsi="黑体" w:eastAsia="仿宋_GB2312"/>
          <w:sz w:val="32"/>
          <w:szCs w:val="32"/>
        </w:rPr>
      </w:pPr>
      <w:r>
        <w:rPr>
          <w:rFonts w:hint="eastAsia" w:ascii="仿宋_GB2312" w:hAnsi="黑体" w:eastAsia="仿宋_GB2312"/>
          <w:sz w:val="32"/>
          <w:szCs w:val="32"/>
        </w:rPr>
        <w:t>2022年初，按照区“双随机、一公开”监管联席会议办公室要求，公开了2022年“双随机、一公开”抽查事项清单及工作计划，确保“双随机、一公开”监管职责明确，公开透明。</w:t>
      </w:r>
    </w:p>
    <w:p>
      <w:pPr>
        <w:keepNext w:val="0"/>
        <w:keepLines w:val="0"/>
        <w:pageBreakBefore w:val="0"/>
        <w:widowControl w:val="0"/>
        <w:kinsoku/>
        <w:wordWrap/>
        <w:overflowPunct/>
        <w:topLinePunct w:val="0"/>
        <w:autoSpaceDE/>
        <w:autoSpaceDN/>
        <w:bidi w:val="0"/>
        <w:adjustRightInd/>
        <w:snapToGrid/>
        <w:ind w:firstLine="622"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针对价格、节能、清洁生产和粮食领域积极履行监管职责，全年区发改委抽查市场主体18家、项目1个。区粮食局抽查市场主体7家；开展部门联合抽查市场主体5家。</w:t>
      </w:r>
    </w:p>
    <w:p>
      <w:pPr>
        <w:ind w:firstLine="622" w:firstLineChars="200"/>
        <w:jc w:val="left"/>
        <w:rPr>
          <w:rFonts w:hint="eastAsia" w:ascii="仿宋_GB2312" w:hAnsi="黑体" w:eastAsia="仿宋_GB2312"/>
          <w:sz w:val="32"/>
          <w:szCs w:val="32"/>
        </w:rPr>
      </w:pPr>
    </w:p>
    <w:p>
      <w:pPr>
        <w:ind w:firstLine="622"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p>
    <w:p>
      <w:pPr>
        <w:pStyle w:val="2"/>
        <w:wordWrap w:val="0"/>
        <w:jc w:val="right"/>
        <w:rPr>
          <w:rFonts w:hint="default" w:eastAsia="仿宋_GB2312"/>
          <w:lang w:val="en-US" w:eastAsia="zh-CN"/>
        </w:rPr>
      </w:pPr>
      <w:r>
        <w:rPr>
          <w:rFonts w:hint="eastAsia" w:ascii="仿宋_GB2312" w:hAnsi="黑体" w:eastAsia="仿宋_GB2312"/>
          <w:sz w:val="32"/>
          <w:szCs w:val="32"/>
        </w:rPr>
        <w:t xml:space="preserve">                  2023年1月28日</w:t>
      </w:r>
      <w:r>
        <w:rPr>
          <w:rFonts w:hint="eastAsia" w:ascii="仿宋_GB2312" w:hAnsi="黑体" w:eastAsia="仿宋_GB2312"/>
          <w:sz w:val="32"/>
          <w:szCs w:val="32"/>
          <w:lang w:val="en-US" w:eastAsia="zh-CN"/>
        </w:rPr>
        <w:t xml:space="preserve">        </w:t>
      </w:r>
    </w:p>
    <w:p>
      <w:pPr>
        <w:tabs>
          <w:tab w:val="left" w:pos="11550"/>
        </w:tabs>
        <w:spacing w:line="580" w:lineRule="exact"/>
        <w:ind w:firstLine="622" w:firstLineChars="200"/>
        <w:rPr>
          <w:rFonts w:hint="eastAsia" w:eastAsia="仿宋_GB2312"/>
          <w:sz w:val="32"/>
          <w:szCs w:val="32"/>
          <w:lang w:eastAsia="zh-CN"/>
        </w:rPr>
      </w:pPr>
    </w:p>
    <w:p>
      <w:pPr>
        <w:tabs>
          <w:tab w:val="left" w:pos="11550"/>
        </w:tabs>
        <w:spacing w:line="580" w:lineRule="exact"/>
        <w:rPr>
          <w:rFonts w:hint="default" w:ascii="仿宋_GB2312" w:hAnsi="宋体" w:eastAsia="仿宋_GB2312" w:cs="宋体"/>
          <w:sz w:val="32"/>
          <w:szCs w:val="32"/>
          <w:lang w:val="en"/>
        </w:rPr>
      </w:pPr>
      <w:r>
        <w:rPr>
          <w:rFonts w:hint="default" w:ascii="仿宋_GB2312" w:hAnsi="华文中宋" w:eastAsia="仿宋_GB2312"/>
          <w:sz w:val="32"/>
          <w:szCs w:val="32"/>
          <w:lang w:val="en"/>
        </w:rPr>
        <w:t xml:space="preserve">        </w:t>
      </w:r>
      <w:r>
        <w:rPr>
          <w:rFonts w:hint="default" w:ascii="仿宋_GB2312" w:hAnsi="宋体" w:eastAsia="仿宋_GB2312" w:cs="宋体"/>
          <w:sz w:val="32"/>
          <w:szCs w:val="32"/>
          <w:lang w:val="en"/>
        </w:rPr>
        <w:t xml:space="preserve">                   </w:t>
      </w:r>
    </w:p>
    <w:sectPr>
      <w:headerReference r:id="rId3" w:type="first"/>
      <w:footerReference r:id="rId4" w:type="default"/>
      <w:footerReference r:id="rId5" w:type="even"/>
      <w:pgSz w:w="11906" w:h="16838"/>
      <w:pgMar w:top="2098" w:right="1474" w:bottom="1985" w:left="1588" w:header="0" w:footer="907" w:gutter="0"/>
      <w:pgNumType w:fmt="numberInDash" w:start="1"/>
      <w:cols w:space="720" w:num="1"/>
      <w:docGrid w:type="linesAndChars" w:linePitch="318"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1 -</w:t>
    </w:r>
    <w:r>
      <w:fldChar w:fldCharType="end"/>
    </w:r>
  </w:p>
  <w:p>
    <w:pPr>
      <w:pStyle w:val="2"/>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zQ4YTJiZTJlM2YwNTk5MmJkZTZmMDEzODRhZTkifQ=="/>
  </w:docVars>
  <w:rsids>
    <w:rsidRoot w:val="00172A27"/>
    <w:rsid w:val="00030FF6"/>
    <w:rsid w:val="00046A44"/>
    <w:rsid w:val="00047338"/>
    <w:rsid w:val="00071198"/>
    <w:rsid w:val="00090897"/>
    <w:rsid w:val="000E3708"/>
    <w:rsid w:val="00193FB7"/>
    <w:rsid w:val="001C600E"/>
    <w:rsid w:val="001E0F96"/>
    <w:rsid w:val="002273D1"/>
    <w:rsid w:val="00243941"/>
    <w:rsid w:val="002A07C9"/>
    <w:rsid w:val="003205AC"/>
    <w:rsid w:val="00335EE2"/>
    <w:rsid w:val="003619CA"/>
    <w:rsid w:val="00440F35"/>
    <w:rsid w:val="00471472"/>
    <w:rsid w:val="00475E04"/>
    <w:rsid w:val="004B639E"/>
    <w:rsid w:val="004D3C9E"/>
    <w:rsid w:val="005168BA"/>
    <w:rsid w:val="00575075"/>
    <w:rsid w:val="005D2B9C"/>
    <w:rsid w:val="005F52D0"/>
    <w:rsid w:val="005F76E3"/>
    <w:rsid w:val="00620C79"/>
    <w:rsid w:val="006240DB"/>
    <w:rsid w:val="006406D7"/>
    <w:rsid w:val="006604A3"/>
    <w:rsid w:val="00667BC1"/>
    <w:rsid w:val="00672CFB"/>
    <w:rsid w:val="006828A2"/>
    <w:rsid w:val="00690A4E"/>
    <w:rsid w:val="006B219A"/>
    <w:rsid w:val="006E4FF6"/>
    <w:rsid w:val="006E6E06"/>
    <w:rsid w:val="00736B64"/>
    <w:rsid w:val="00760133"/>
    <w:rsid w:val="007923E4"/>
    <w:rsid w:val="00795259"/>
    <w:rsid w:val="00870EB4"/>
    <w:rsid w:val="00881A6A"/>
    <w:rsid w:val="008B2633"/>
    <w:rsid w:val="008F73F0"/>
    <w:rsid w:val="00957E9A"/>
    <w:rsid w:val="009813CB"/>
    <w:rsid w:val="00984904"/>
    <w:rsid w:val="009A0D77"/>
    <w:rsid w:val="009B0A10"/>
    <w:rsid w:val="009D4B57"/>
    <w:rsid w:val="009E6576"/>
    <w:rsid w:val="00A16A42"/>
    <w:rsid w:val="00A306AD"/>
    <w:rsid w:val="00A50265"/>
    <w:rsid w:val="00A550EB"/>
    <w:rsid w:val="00A75004"/>
    <w:rsid w:val="00A90F63"/>
    <w:rsid w:val="00AA7FC9"/>
    <w:rsid w:val="00B02DE3"/>
    <w:rsid w:val="00B0598A"/>
    <w:rsid w:val="00B072B6"/>
    <w:rsid w:val="00B218BB"/>
    <w:rsid w:val="00B340C9"/>
    <w:rsid w:val="00BC4946"/>
    <w:rsid w:val="00BC5C57"/>
    <w:rsid w:val="00C5053D"/>
    <w:rsid w:val="00CA45E4"/>
    <w:rsid w:val="00D54A6C"/>
    <w:rsid w:val="00D73BA7"/>
    <w:rsid w:val="00D81583"/>
    <w:rsid w:val="00DD7C9C"/>
    <w:rsid w:val="00DE020F"/>
    <w:rsid w:val="00E0391C"/>
    <w:rsid w:val="00E141F7"/>
    <w:rsid w:val="00EB126E"/>
    <w:rsid w:val="00ED2989"/>
    <w:rsid w:val="00EF7C88"/>
    <w:rsid w:val="00F1754C"/>
    <w:rsid w:val="00F20405"/>
    <w:rsid w:val="00F87B68"/>
    <w:rsid w:val="00F92719"/>
    <w:rsid w:val="00F9506E"/>
    <w:rsid w:val="305033F5"/>
    <w:rsid w:val="37FF3563"/>
    <w:rsid w:val="3B8215B9"/>
    <w:rsid w:val="3CBF0889"/>
    <w:rsid w:val="56FEECDE"/>
    <w:rsid w:val="66FDEFFE"/>
    <w:rsid w:val="77BD7279"/>
    <w:rsid w:val="7F93DC77"/>
    <w:rsid w:val="7FF74F0A"/>
    <w:rsid w:val="AAFFA89B"/>
    <w:rsid w:val="BDDBF14B"/>
    <w:rsid w:val="BE7A49CC"/>
    <w:rsid w:val="CFBF6D8B"/>
    <w:rsid w:val="EE6E32CF"/>
    <w:rsid w:val="F7EEE6B3"/>
    <w:rsid w:val="F9EEA814"/>
    <w:rsid w:val="FDF7851D"/>
    <w:rsid w:val="FF19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qFormat/>
    <w:uiPriority w:val="0"/>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styleId="10">
    <w:name w:val="List Paragraph"/>
    <w:basedOn w:val="1"/>
    <w:qFormat/>
    <w:uiPriority w:val="0"/>
    <w:pPr>
      <w:ind w:firstLine="420" w:firstLineChars="200"/>
    </w:pPr>
  </w:style>
  <w:style w:type="character" w:customStyle="1" w:styleId="11">
    <w:name w:val="a微软简标宋 Char"/>
    <w:link w:val="12"/>
    <w:qFormat/>
    <w:locked/>
    <w:uiPriority w:val="0"/>
    <w:rPr>
      <w:rFonts w:ascii="微软简标宋" w:hAnsi="Calibri" w:eastAsia="微软简标宋"/>
      <w:sz w:val="44"/>
      <w:szCs w:val="44"/>
      <w:lang w:bidi="ar-SA"/>
    </w:rPr>
  </w:style>
  <w:style w:type="paragraph" w:customStyle="1" w:styleId="12">
    <w:name w:val="a微软简标宋"/>
    <w:basedOn w:val="1"/>
    <w:link w:val="11"/>
    <w:qFormat/>
    <w:uiPriority w:val="0"/>
    <w:pPr>
      <w:spacing w:line="579" w:lineRule="exact"/>
      <w:jc w:val="center"/>
    </w:pPr>
    <w:rPr>
      <w:rFonts w:ascii="微软简标宋" w:hAnsi="Calibri" w:eastAsia="微软简标宋"/>
      <w:kern w:val="0"/>
      <w:sz w:val="44"/>
      <w:szCs w:val="44"/>
    </w:rPr>
  </w:style>
  <w:style w:type="character" w:customStyle="1" w:styleId="13">
    <w:name w:val="页脚 Char"/>
    <w:basedOn w:val="8"/>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tjec</Company>
  <Pages>2</Pages>
  <Words>693</Words>
  <Characters>717</Characters>
  <Lines>1</Lines>
  <Paragraphs>1</Paragraphs>
  <TotalTime>4</TotalTime>
  <ScaleCrop>false</ScaleCrop>
  <LinksUpToDate>false</LinksUpToDate>
  <CharactersWithSpaces>827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2020-11-09T01:06:00Z</dcterms:created>
  <dc:creator>办公室</dc:creator>
  <cp:lastModifiedBy>徐恩宁</cp:lastModifiedBy>
  <cp:lastPrinted>2022-03-01T01:17:00Z</cp:lastPrinted>
  <dcterms:modified xsi:type="dcterms:W3CDTF">2023-01-28T06:46:58Z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971BBB82EAA34173ABC0FB8C37D8A2AE</vt:lpwstr>
  </property>
</Properties>
</file>